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33C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9CE0B4" wp14:editId="6B653121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D373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5FC09CFA" w14:textId="77777777" w:rsidTr="005E1E9B">
        <w:tc>
          <w:tcPr>
            <w:tcW w:w="4961" w:type="dxa"/>
          </w:tcPr>
          <w:p w14:paraId="237BB65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C0E55EF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2D038C1D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14:paraId="7C2309A6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673632B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43A737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F72A69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5C6D14B7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14:paraId="05F02268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7B52FD41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9CAB008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2FD001D7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ИВиДПО, Пигарова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E37443" w14:textId="77777777" w:rsidR="002827B1" w:rsidRPr="00A30F0F" w:rsidRDefault="002827B1" w:rsidP="007114D1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14:paraId="6864B11E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9EBB4B8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6280FB77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093BF18E" w14:textId="77777777" w:rsidR="007D2938" w:rsidRPr="007D2938" w:rsidRDefault="007D2938" w:rsidP="00B51D41">
      <w:pPr>
        <w:jc w:val="center"/>
        <w:rPr>
          <w:rFonts w:ascii="Times New Roman" w:hAnsi="Times New Roman"/>
          <w:sz w:val="36"/>
          <w:szCs w:val="36"/>
        </w:rPr>
      </w:pPr>
    </w:p>
    <w:p w14:paraId="5BAE8896" w14:textId="77777777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7D2938" w:rsidRPr="007D2938">
        <w:rPr>
          <w:rFonts w:ascii="Times New Roman" w:hAnsi="Times New Roman"/>
          <w:b/>
          <w:sz w:val="36"/>
          <w:szCs w:val="36"/>
        </w:rPr>
        <w:t>Эндокринные факторы бесплодия у пациентов в программах вспомогательных репродуктивных технологий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51BABE94" w14:textId="77777777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042E16AD" w14:textId="77777777"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77289554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6AF5B757" w14:textId="0098FB7F" w:rsidR="00AC3F04" w:rsidRPr="00A30F0F" w:rsidRDefault="007D2938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3F04">
        <w:rPr>
          <w:rFonts w:ascii="Times New Roman" w:hAnsi="Times New Roman"/>
          <w:sz w:val="24"/>
          <w:szCs w:val="24"/>
        </w:rPr>
        <w:t>.м.н.,</w:t>
      </w:r>
      <w:r w:rsidR="00C30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 Бармина И.И</w:t>
      </w:r>
      <w:r w:rsidR="00DC1736">
        <w:rPr>
          <w:rFonts w:ascii="Times New Roman" w:hAnsi="Times New Roman"/>
          <w:sz w:val="24"/>
          <w:szCs w:val="24"/>
        </w:rPr>
        <w:t>.</w:t>
      </w:r>
    </w:p>
    <w:p w14:paraId="6F87804F" w14:textId="5C0141E0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 xml:space="preserve">к.м.н., </w:t>
      </w:r>
      <w:r w:rsidR="007D2938">
        <w:rPr>
          <w:rFonts w:ascii="Times New Roman" w:hAnsi="Times New Roman"/>
          <w:sz w:val="24"/>
          <w:szCs w:val="24"/>
        </w:rPr>
        <w:t>Витязева И.И</w:t>
      </w:r>
      <w:r w:rsidR="009655FB">
        <w:rPr>
          <w:rFonts w:ascii="Times New Roman" w:hAnsi="Times New Roman"/>
          <w:sz w:val="24"/>
          <w:szCs w:val="24"/>
        </w:rPr>
        <w:t>.</w:t>
      </w:r>
    </w:p>
    <w:p w14:paraId="3C5252B5" w14:textId="77777777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3D3BB4E8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3698093D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2016</w:t>
      </w:r>
    </w:p>
    <w:p w14:paraId="01A744A7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90165D5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5AC4179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0C587A91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3962BFF7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1C6B3A2A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D3472C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7D2938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14:paraId="58A32DBB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практических занятий –</w:t>
      </w:r>
      <w:r w:rsidR="00D3472C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7D2938">
        <w:rPr>
          <w:rFonts w:ascii="Times New Roman" w:eastAsia="Times New Roman" w:hAnsi="Times New Roman"/>
          <w:i/>
          <w:sz w:val="24"/>
          <w:szCs w:val="24"/>
          <w:lang w:eastAsia="zh-CN"/>
        </w:rPr>
        <w:t>19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071E3BEC" w14:textId="77777777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2DED902C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0DC0ADBF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33D62FFC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3AFBA7D8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6362E661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42CFA11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2C824E6B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073C7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16A72953" w14:textId="77777777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акушеров-гинекологов, </w:t>
      </w:r>
      <w:r w:rsidR="009D3A99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="007D2938">
        <w:rPr>
          <w:rFonts w:ascii="Times New Roman" w:eastAsia="Times New Roman" w:hAnsi="Times New Roman"/>
          <w:sz w:val="24"/>
          <w:szCs w:val="24"/>
          <w:lang w:eastAsia="zh-CN"/>
        </w:rPr>
        <w:t>рологов, врачей общей практики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7D2938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25E9204F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9314A" w14:textId="77777777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7D2938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5934E5BB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5E2EE4" w14:textId="77777777"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5" w:name="OLE_LINK13"/>
      <w:bookmarkStart w:id="6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7D2938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5"/>
    <w:bookmarkEnd w:id="6"/>
    <w:p w14:paraId="0139D99E" w14:textId="77777777" w:rsidR="00775064" w:rsidRDefault="004D625C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9D3A99">
        <w:rPr>
          <w:rFonts w:ascii="Times New Roman" w:hAnsi="Times New Roman"/>
          <w:bCs/>
          <w:sz w:val="24"/>
          <w:szCs w:val="24"/>
        </w:rPr>
        <w:t xml:space="preserve">Бесплодие в настоящее время представляет собой не только медицинскую, но и социальную проблему. Частота бесплодия в России достигает 15%. При этом до 30% пациентов с данной проблемой имеют в качестве причины бесплодия эндокринную патологию. Так же, сопутствующие эндокринные заболевания, если и не являются напрямую причиной бесплодия, то отягощают </w:t>
      </w:r>
      <w:r w:rsidR="00007F06">
        <w:rPr>
          <w:rFonts w:ascii="Times New Roman" w:hAnsi="Times New Roman"/>
          <w:bCs/>
          <w:sz w:val="24"/>
          <w:szCs w:val="24"/>
        </w:rPr>
        <w:t>течение программ вспомогательных репродуктивных технологий и последующей беременности, а так же могут приводить к развитию патологии у будущего ребенка. В настоящее время планирование беременности у пациенток с использованием методов ВРТ, в</w:t>
      </w:r>
      <w:r w:rsidR="00007F06" w:rsidRPr="00007F06">
        <w:rPr>
          <w:rFonts w:ascii="Times New Roman" w:hAnsi="Times New Roman"/>
          <w:bCs/>
          <w:sz w:val="24"/>
          <w:szCs w:val="24"/>
        </w:rPr>
        <w:t xml:space="preserve"> </w:t>
      </w:r>
      <w:r w:rsidR="00007F06">
        <w:rPr>
          <w:rFonts w:ascii="Times New Roman" w:hAnsi="Times New Roman"/>
          <w:bCs/>
          <w:sz w:val="24"/>
          <w:szCs w:val="24"/>
        </w:rPr>
        <w:t>том числе экстракорпорального оплодотворения, следует рекомендовать после достижения компенсации основного заболевания для оптимизации исходов лечения и снижения рисков для матери и будущего ребенка. Более того, учитывая генет</w:t>
      </w:r>
      <w:r w:rsidR="00775064">
        <w:rPr>
          <w:rFonts w:ascii="Times New Roman" w:hAnsi="Times New Roman"/>
          <w:bCs/>
          <w:sz w:val="24"/>
          <w:szCs w:val="24"/>
        </w:rPr>
        <w:t>ическую природу ряда эндокриноп</w:t>
      </w:r>
      <w:r w:rsidR="00007F06">
        <w:rPr>
          <w:rFonts w:ascii="Times New Roman" w:hAnsi="Times New Roman"/>
          <w:bCs/>
          <w:sz w:val="24"/>
          <w:szCs w:val="24"/>
        </w:rPr>
        <w:t xml:space="preserve">атий, таких как </w:t>
      </w:r>
      <w:r w:rsidR="00775064">
        <w:rPr>
          <w:rFonts w:ascii="Times New Roman" w:hAnsi="Times New Roman"/>
          <w:bCs/>
          <w:sz w:val="24"/>
          <w:szCs w:val="24"/>
        </w:rPr>
        <w:t>ВДКН, м</w:t>
      </w:r>
      <w:r w:rsidR="00007F06" w:rsidRPr="00007F06">
        <w:rPr>
          <w:rFonts w:ascii="Times New Roman" w:hAnsi="Times New Roman"/>
          <w:bCs/>
          <w:sz w:val="24"/>
          <w:szCs w:val="24"/>
        </w:rPr>
        <w:t>он</w:t>
      </w:r>
      <w:r w:rsidR="00007F06">
        <w:rPr>
          <w:rFonts w:ascii="Times New Roman" w:hAnsi="Times New Roman"/>
          <w:bCs/>
          <w:sz w:val="24"/>
          <w:szCs w:val="24"/>
        </w:rPr>
        <w:t xml:space="preserve">огенные </w:t>
      </w:r>
      <w:r w:rsidR="00775064">
        <w:rPr>
          <w:rFonts w:ascii="Times New Roman" w:hAnsi="Times New Roman"/>
          <w:bCs/>
          <w:sz w:val="24"/>
          <w:szCs w:val="24"/>
        </w:rPr>
        <w:t>формы сахарного диабета и ряд других, использование методов преимплантационной генетической диагностики в рамках программ ЭКО позволяет минимизировать риски передачи этих заболеваний в поколениях.</w:t>
      </w:r>
    </w:p>
    <w:p w14:paraId="235E2E62" w14:textId="77777777" w:rsidR="00775064" w:rsidRDefault="004E6196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A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включает методы дифференциальной диагностики 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t xml:space="preserve">эндокринных факторов бесплодия, особенности выбора терапии эндокринопатий с учетом планируемой беременности 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используемых методов ВРТ. Особое внимание уделяется патологиям, находящимся на стыке эндокринологии и гинекологии с точки зрения целей и задач врачей акушеров-гиенкологов и эндокринологов и необходимости достижения консенсуса между ними.</w:t>
      </w:r>
    </w:p>
    <w:p w14:paraId="6F2630FA" w14:textId="77777777"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731E830" w14:textId="77777777"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775064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775064">
        <w:rPr>
          <w:rFonts w:ascii="Times New Roman" w:eastAsia="Times New Roman" w:hAnsi="Times New Roman"/>
          <w:sz w:val="24"/>
          <w:szCs w:val="24"/>
          <w:lang w:eastAsia="ru-RU"/>
        </w:rPr>
        <w:t>ведения пациентов бесплодием эндокринного генеза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40A530F6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C5417B3" w14:textId="77777777"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775064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611DE8B2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 xml:space="preserve">ими </w:t>
      </w:r>
      <w:r w:rsidR="00775064">
        <w:rPr>
          <w:rFonts w:ascii="Times New Roman" w:eastAsia="Times New Roman" w:hAnsi="Times New Roman"/>
          <w:sz w:val="24"/>
          <w:szCs w:val="24"/>
          <w:lang w:eastAsia="zh-CN"/>
        </w:rPr>
        <w:t>эндокринные причины бесплодия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374D71E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446D8DAA" w14:textId="77777777"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39E07E96" w14:textId="77777777"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775064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775064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7465136F" w14:textId="77777777"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4A78C72" w14:textId="77777777"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0AC3ECD3" w14:textId="77777777"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961145A" w14:textId="77777777"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3C566EED" w14:textId="77777777"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EA56B5" w14:textId="77777777"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6B0D4B12" w14:textId="77777777"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775064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="00775064">
        <w:rPr>
          <w:rFonts w:ascii="Times New Roman" w:hAnsi="Times New Roman"/>
          <w:sz w:val="24"/>
          <w:szCs w:val="24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7805F243" w14:textId="77777777"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172BF6F1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0CAD461C" w14:textId="77777777"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6E674961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0B770AB3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lastRenderedPageBreak/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70E21D43" w14:textId="77777777"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2D8981EF" w14:textId="77777777"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0F4A8B90" w14:textId="77777777"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D8CFB5" w14:textId="77777777"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A515AA" w14:textId="77777777"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513CFC77" w14:textId="77777777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рапия», «Акушерство и гинекология»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, «</w:t>
      </w:r>
      <w:r w:rsidR="00976121">
        <w:rPr>
          <w:rFonts w:ascii="Times New Roman" w:eastAsia="Times New Roman" w:hAnsi="Times New Roman"/>
          <w:sz w:val="24"/>
          <w:szCs w:val="24"/>
          <w:lang w:eastAsia="zh-CN"/>
        </w:rPr>
        <w:t>Урология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2BAE35AD" w14:textId="77777777"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976121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554DFC85" w14:textId="77777777"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2BDD6FE1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6919E45A" w14:textId="77777777"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215A33D4" w14:textId="77777777"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1C830B68" w14:textId="77777777"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6A5961E1" w14:textId="77777777" w:rsidR="00EE4D7D" w:rsidRPr="00D22E96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с</w:t>
      </w:r>
      <w:r w:rsidR="0097612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бесплодием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020CF16C" w14:textId="77777777" w:rsidR="00663C5A" w:rsidRPr="00EE4D7D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анализировать закономерности функционирования </w:t>
      </w:r>
      <w:r w:rsidR="00976121">
        <w:rPr>
          <w:color w:val="000000"/>
          <w:lang w:eastAsia="ru-RU" w:bidi="ru-RU"/>
        </w:rPr>
        <w:t>репродуктивной системы и ее интеграции с другими системами организма, прежде всего эндокринной системой</w:t>
      </w:r>
      <w:r w:rsidRPr="00EE4D7D">
        <w:rPr>
          <w:color w:val="000000"/>
          <w:lang w:eastAsia="ru-RU" w:bidi="ru-RU"/>
        </w:rPr>
        <w:t xml:space="preserve">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535D4A">
        <w:rPr>
          <w:color w:val="000000"/>
          <w:lang w:eastAsia="ru-RU" w:bidi="ru-RU"/>
        </w:rPr>
        <w:t xml:space="preserve"> регуляции </w:t>
      </w:r>
      <w:r w:rsidR="00976121">
        <w:rPr>
          <w:color w:val="000000"/>
          <w:lang w:eastAsia="ru-RU" w:bidi="ru-RU"/>
        </w:rPr>
        <w:t>репродуктивной функции</w:t>
      </w:r>
      <w:r w:rsidRPr="00EE4D7D">
        <w:rPr>
          <w:color w:val="000000"/>
          <w:lang w:eastAsia="ru-RU" w:bidi="ru-RU"/>
        </w:rPr>
        <w:t>, основные методики клинико</w:t>
      </w:r>
      <w:r w:rsidR="00FA6639">
        <w:rPr>
          <w:color w:val="000000"/>
          <w:lang w:eastAsia="ru-RU" w:bidi="ru-RU"/>
        </w:rPr>
        <w:t>-</w:t>
      </w:r>
      <w:r w:rsidR="00976121">
        <w:rPr>
          <w:color w:val="000000"/>
          <w:lang w:eastAsia="ru-RU" w:bidi="ru-RU"/>
        </w:rPr>
        <w:t>лабораторного и инструментального</w:t>
      </w:r>
      <w:r w:rsidRPr="00EE4D7D">
        <w:rPr>
          <w:color w:val="000000"/>
          <w:lang w:eastAsia="ru-RU" w:bidi="ru-RU"/>
        </w:rPr>
        <w:t xml:space="preserve"> обследования и оценки функционально</w:t>
      </w:r>
      <w:r w:rsidR="00E93425">
        <w:rPr>
          <w:color w:val="000000"/>
          <w:lang w:eastAsia="ru-RU" w:bidi="ru-RU"/>
        </w:rPr>
        <w:t>го состояния организма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4596794D" w14:textId="77777777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</w:t>
      </w:r>
      <w:r w:rsidR="00976121">
        <w:rPr>
          <w:color w:val="000000"/>
          <w:lang w:eastAsia="ru-RU" w:bidi="ru-RU"/>
        </w:rPr>
        <w:t xml:space="preserve">с бесплодием </w:t>
      </w:r>
      <w:r w:rsidRPr="00A93C79">
        <w:rPr>
          <w:color w:val="000000"/>
          <w:lang w:eastAsia="ru-RU" w:bidi="ru-RU"/>
        </w:rPr>
        <w:t xml:space="preserve">основные патологические симптомы и синдромы </w:t>
      </w:r>
      <w:r w:rsidR="00976121">
        <w:rPr>
          <w:color w:val="000000"/>
          <w:lang w:eastAsia="ru-RU" w:bidi="ru-RU"/>
        </w:rPr>
        <w:t>эндокринных заболеваний</w:t>
      </w:r>
      <w:r w:rsidRPr="00A93C79">
        <w:rPr>
          <w:color w:val="000000"/>
          <w:lang w:eastAsia="ru-RU" w:bidi="ru-RU"/>
        </w:rPr>
        <w:t>, используя знания основ медико-биологических и клинических дисциплин. Учитывать закономерности т</w:t>
      </w:r>
      <w:r w:rsidR="00976121">
        <w:rPr>
          <w:color w:val="000000"/>
          <w:lang w:eastAsia="ru-RU" w:bidi="ru-RU"/>
        </w:rPr>
        <w:t>ечения патологического процесса, в том числе в программах ВРТ и при достижении беременности.</w:t>
      </w:r>
      <w:r w:rsidRPr="00A93C79">
        <w:rPr>
          <w:color w:val="000000"/>
          <w:lang w:eastAsia="ru-RU" w:bidi="ru-RU"/>
        </w:rPr>
        <w:t xml:space="preserve"> Использовать алгоритм постановки диагноза и его рубрификации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38B85A3D" w14:textId="77777777" w:rsidR="00A93C79" w:rsidRP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136AA9C8" w14:textId="77777777"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lastRenderedPageBreak/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E002C67" w14:textId="77777777"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976121">
        <w:rPr>
          <w:color w:val="000000"/>
          <w:lang w:eastAsia="ru-RU" w:bidi="ru-RU"/>
        </w:rPr>
        <w:t>бесплодием</w:t>
      </w:r>
      <w:r w:rsidRPr="00A93C79">
        <w:rPr>
          <w:color w:val="000000"/>
          <w:lang w:eastAsia="ru-RU" w:bidi="ru-RU"/>
        </w:rPr>
        <w:t xml:space="preserve"> (ПК-4);</w:t>
      </w:r>
    </w:p>
    <w:p w14:paraId="67B467F2" w14:textId="77777777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 xml:space="preserve"> у больны</w:t>
      </w:r>
      <w:r w:rsidR="00617790">
        <w:rPr>
          <w:color w:val="000000"/>
          <w:lang w:eastAsia="ru-RU" w:bidi="ru-RU"/>
        </w:rPr>
        <w:t xml:space="preserve">х с </w:t>
      </w:r>
      <w:r w:rsidR="00976121">
        <w:rPr>
          <w:color w:val="000000"/>
          <w:lang w:eastAsia="ru-RU" w:bidi="ru-RU"/>
        </w:rPr>
        <w:t>эндокринными факторами бесплодия</w:t>
      </w:r>
      <w:r w:rsidRPr="00A93C79">
        <w:rPr>
          <w:color w:val="000000"/>
          <w:lang w:eastAsia="ru-RU" w:bidi="ru-RU"/>
        </w:rPr>
        <w:t xml:space="preserve"> (ПК-5); в реабилитационной деятельности;</w:t>
      </w:r>
    </w:p>
    <w:p w14:paraId="0F04AAEC" w14:textId="77777777"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 xml:space="preserve">социальные, психологические) при </w:t>
      </w:r>
      <w:r w:rsidR="00976121">
        <w:rPr>
          <w:color w:val="000000"/>
          <w:lang w:eastAsia="ru-RU" w:bidi="ru-RU"/>
        </w:rPr>
        <w:t>планировании беременности у пациентов с сопутствующими эндокринными заболеваниями</w:t>
      </w:r>
      <w:r w:rsidR="00ED3F91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 xml:space="preserve"> (ПК-6);</w:t>
      </w:r>
    </w:p>
    <w:p w14:paraId="411DEAD0" w14:textId="77777777" w:rsidR="00663C5A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</w:t>
      </w:r>
      <w:r w:rsidR="00976121">
        <w:rPr>
          <w:color w:val="000000"/>
          <w:lang w:eastAsia="ru-RU" w:bidi="ru-RU"/>
        </w:rPr>
        <w:t>терапии при достижении беременности у пациенток с эндокринными факторами бесплодия</w:t>
      </w:r>
      <w:r w:rsidR="0073691D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33C6078D" w14:textId="77777777"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4F1C8BD5" w14:textId="77777777"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152D3B87" w14:textId="77777777"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3517905" w14:textId="77777777" w:rsidR="00663C5A" w:rsidRPr="000B5B6F" w:rsidRDefault="00976121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гормональную регуляцию репродуктивной системы</w:t>
      </w:r>
    </w:p>
    <w:p w14:paraId="679C7986" w14:textId="77777777" w:rsidR="00663C5A" w:rsidRPr="000B5B6F" w:rsidRDefault="00713422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A4ED1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 w:rsidR="00976121"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пациентов с бесплодием</w:t>
      </w:r>
      <w:r w:rsidRPr="000B5B6F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8EEF92C" w14:textId="77777777" w:rsidR="00663C5A" w:rsidRPr="000B5B6F" w:rsidRDefault="009A4ED1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 xml:space="preserve">оценка </w:t>
      </w:r>
      <w:r w:rsidR="00976121" w:rsidRPr="000B5B6F">
        <w:rPr>
          <w:color w:val="000000"/>
          <w:lang w:eastAsia="ru-RU" w:bidi="ru-RU"/>
        </w:rPr>
        <w:t>особенностей нарушения менструального цикла</w:t>
      </w:r>
      <w:r w:rsidR="00663C5A" w:rsidRPr="000B5B6F">
        <w:rPr>
          <w:color w:val="000000"/>
          <w:lang w:eastAsia="ru-RU" w:bidi="ru-RU"/>
        </w:rPr>
        <w:t>;</w:t>
      </w:r>
    </w:p>
    <w:p w14:paraId="02DA089F" w14:textId="77777777" w:rsidR="00976121" w:rsidRPr="000B5B6F" w:rsidRDefault="00976121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комплекс клинических проявлений эндокринных заболеваний, ведущих  к развитию бесплодия;</w:t>
      </w:r>
    </w:p>
    <w:p w14:paraId="01896427" w14:textId="77777777" w:rsidR="009712A0" w:rsidRPr="000B5B6F" w:rsidRDefault="009712A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комплекс лабораторный исследований при выявлении эндокринных факторов бесплодия;</w:t>
      </w:r>
    </w:p>
    <w:p w14:paraId="0ED3DBFA" w14:textId="77777777" w:rsidR="009712A0" w:rsidRPr="000B5B6F" w:rsidRDefault="009712A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современные функциональные пробы, применяемые при диагностике эндокринного бесплодия;</w:t>
      </w:r>
    </w:p>
    <w:p w14:paraId="70AACBF2" w14:textId="77777777" w:rsidR="009712A0" w:rsidRPr="000B5B6F" w:rsidRDefault="009712A0" w:rsidP="009712A0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современные методы функциональной диагностики, применяемые при обследовании по поводу эндокринного бесплодия;</w:t>
      </w:r>
    </w:p>
    <w:p w14:paraId="635EF097" w14:textId="77777777" w:rsidR="00663C5A" w:rsidRPr="000B5B6F" w:rsidRDefault="00F33B3D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современные виды фармакологического лечения</w:t>
      </w:r>
      <w:r w:rsidR="009712A0" w:rsidRPr="000B5B6F">
        <w:rPr>
          <w:color w:val="000000"/>
          <w:lang w:eastAsia="ru-RU" w:bidi="ru-RU"/>
        </w:rPr>
        <w:t xml:space="preserve"> эндокринопатий, влекущих развитие бесплодия;</w:t>
      </w:r>
    </w:p>
    <w:p w14:paraId="4C40AFA4" w14:textId="77777777" w:rsidR="009712A0" w:rsidRPr="000B5B6F" w:rsidRDefault="009712A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0B5B6F">
        <w:rPr>
          <w:color w:val="000000"/>
          <w:lang w:eastAsia="ru-RU" w:bidi="ru-RU"/>
        </w:rPr>
        <w:t>современные возможности цито-генетического исследования и последующего преимплантационного генетического тестирования.</w:t>
      </w:r>
    </w:p>
    <w:p w14:paraId="689EF7CC" w14:textId="77777777" w:rsidR="00663C5A" w:rsidRPr="000B5B6F" w:rsidRDefault="00663C5A" w:rsidP="0024215B">
      <w:pPr>
        <w:pStyle w:val="af6"/>
        <w:spacing w:line="274" w:lineRule="exact"/>
        <w:ind w:left="1060"/>
        <w:jc w:val="both"/>
      </w:pPr>
      <w:r w:rsidRPr="000B5B6F">
        <w:rPr>
          <w:color w:val="000000"/>
          <w:lang w:eastAsia="ru-RU" w:bidi="ru-RU"/>
        </w:rPr>
        <w:t xml:space="preserve">По окончании обучения врач-специалист </w:t>
      </w:r>
      <w:r w:rsidRPr="000B5B6F">
        <w:rPr>
          <w:rStyle w:val="Bodytext2"/>
          <w:rFonts w:eastAsia="Tahoma"/>
        </w:rPr>
        <w:t>должен уметь:</w:t>
      </w:r>
    </w:p>
    <w:p w14:paraId="3595496B" w14:textId="77777777"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0B5B6F">
        <w:rPr>
          <w:color w:val="000000"/>
          <w:lang w:eastAsia="ru-RU" w:bidi="ru-RU"/>
        </w:rPr>
        <w:t>назначить необходимый</w:t>
      </w:r>
      <w:r w:rsidR="00301156" w:rsidRPr="000B5B6F">
        <w:rPr>
          <w:color w:val="000000"/>
          <w:lang w:eastAsia="ru-RU" w:bidi="ru-RU"/>
        </w:rPr>
        <w:t xml:space="preserve"> комплекс обследования </w:t>
      </w:r>
      <w:r w:rsidR="009712A0" w:rsidRPr="000B5B6F">
        <w:rPr>
          <w:color w:val="000000"/>
          <w:lang w:eastAsia="ru-RU" w:bidi="ru-RU"/>
        </w:rPr>
        <w:t>пациентке с эндокринным фактором</w:t>
      </w:r>
      <w:r w:rsidR="009712A0">
        <w:rPr>
          <w:color w:val="000000"/>
          <w:lang w:eastAsia="ru-RU" w:bidi="ru-RU"/>
        </w:rPr>
        <w:t xml:space="preserve"> бесплодия</w:t>
      </w:r>
      <w:r w:rsidRPr="009E7FE5">
        <w:rPr>
          <w:color w:val="000000"/>
          <w:lang w:eastAsia="ru-RU" w:bidi="ru-RU"/>
        </w:rPr>
        <w:t xml:space="preserve"> 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3B2E4E76" w14:textId="77777777" w:rsidR="009A4ED1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795B22">
        <w:rPr>
          <w:color w:val="000000"/>
          <w:lang w:eastAsia="ru-RU" w:bidi="ru-RU"/>
        </w:rPr>
        <w:t>меди</w:t>
      </w:r>
      <w:r w:rsidR="00F33B3D">
        <w:rPr>
          <w:color w:val="000000"/>
          <w:lang w:eastAsia="ru-RU" w:bidi="ru-RU"/>
        </w:rPr>
        <w:t>каментозном лечении</w:t>
      </w:r>
      <w:r w:rsidR="008E6F3C">
        <w:rPr>
          <w:color w:val="000000"/>
          <w:lang w:eastAsia="ru-RU" w:bidi="ru-RU"/>
        </w:rPr>
        <w:t>;</w:t>
      </w:r>
    </w:p>
    <w:p w14:paraId="7A84CE5E" w14:textId="77777777" w:rsidR="008D2802" w:rsidRPr="009E7FE5" w:rsidRDefault="008D2802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14:paraId="53EDF39E" w14:textId="77777777" w:rsidR="00BB7517" w:rsidRPr="00BB7517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>
        <w:rPr>
          <w:color w:val="000000"/>
          <w:lang w:eastAsia="ru-RU" w:bidi="ru-RU"/>
        </w:rPr>
        <w:t>:</w:t>
      </w:r>
    </w:p>
    <w:p w14:paraId="6AA7DDD2" w14:textId="77777777" w:rsidR="00BB7517" w:rsidRDefault="00CF45AA" w:rsidP="00F33B3D">
      <w:pPr>
        <w:pStyle w:val="af6"/>
        <w:numPr>
          <w:ilvl w:val="1"/>
          <w:numId w:val="11"/>
        </w:numPr>
        <w:spacing w:line="274" w:lineRule="exact"/>
        <w:jc w:val="both"/>
      </w:pPr>
      <w:r>
        <w:t>о</w:t>
      </w:r>
      <w:r w:rsidR="00F33B3D">
        <w:t xml:space="preserve">ценка </w:t>
      </w:r>
      <w:r w:rsidR="009712A0">
        <w:t>гормональных исследований</w:t>
      </w:r>
      <w:r w:rsidR="008E6F3C">
        <w:t>;</w:t>
      </w:r>
    </w:p>
    <w:p w14:paraId="44F5B0EF" w14:textId="77777777" w:rsidR="00BB51D2" w:rsidRDefault="009712A0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результаты функциональных проб;</w:t>
      </w:r>
    </w:p>
    <w:p w14:paraId="20918D07" w14:textId="77777777" w:rsidR="00CF45AA" w:rsidRDefault="009712A0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УЗИ малого таза</w:t>
      </w:r>
      <w:r w:rsidR="008E6F3C">
        <w:t>;</w:t>
      </w:r>
    </w:p>
    <w:p w14:paraId="0ADC14F8" w14:textId="77777777" w:rsidR="00BB51D2" w:rsidRDefault="00F33B3D" w:rsidP="009712A0">
      <w:pPr>
        <w:pStyle w:val="af6"/>
        <w:numPr>
          <w:ilvl w:val="1"/>
          <w:numId w:val="11"/>
        </w:numPr>
        <w:spacing w:line="274" w:lineRule="exact"/>
        <w:jc w:val="both"/>
      </w:pPr>
      <w:r>
        <w:t>рутинные биохимические исследования</w:t>
      </w:r>
      <w:r w:rsidR="009712A0">
        <w:t>;</w:t>
      </w:r>
    </w:p>
    <w:p w14:paraId="381D3640" w14:textId="77777777" w:rsidR="009712A0" w:rsidRPr="00BB7517" w:rsidRDefault="009712A0" w:rsidP="009712A0">
      <w:pPr>
        <w:pStyle w:val="af6"/>
        <w:numPr>
          <w:ilvl w:val="1"/>
          <w:numId w:val="11"/>
        </w:numPr>
        <w:spacing w:line="274" w:lineRule="exact"/>
        <w:jc w:val="both"/>
      </w:pPr>
      <w:r>
        <w:t>цито-генетические исследования.</w:t>
      </w:r>
    </w:p>
    <w:p w14:paraId="53B70C04" w14:textId="77777777" w:rsidR="00663C5A" w:rsidRPr="004671DA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 xml:space="preserve">оценить результаты </w:t>
      </w:r>
      <w:r w:rsidR="009712A0">
        <w:rPr>
          <w:color w:val="000000"/>
          <w:lang w:eastAsia="ru-RU" w:bidi="ru-RU"/>
        </w:rPr>
        <w:t>клинического, биохимического</w:t>
      </w:r>
      <w:r w:rsidR="00795B22">
        <w:rPr>
          <w:color w:val="000000"/>
          <w:lang w:eastAsia="ru-RU" w:bidi="ru-RU"/>
        </w:rPr>
        <w:t xml:space="preserve"> гормонального</w:t>
      </w:r>
      <w:r w:rsidR="009712A0">
        <w:rPr>
          <w:color w:val="000000"/>
          <w:lang w:eastAsia="ru-RU" w:bidi="ru-RU"/>
        </w:rPr>
        <w:t>, генетического</w:t>
      </w:r>
      <w:r w:rsidRPr="009E7FE5">
        <w:rPr>
          <w:color w:val="000000"/>
          <w:lang w:eastAsia="ru-RU" w:bidi="ru-RU"/>
        </w:rPr>
        <w:t xml:space="preserve"> </w:t>
      </w:r>
      <w:r w:rsidR="00795B22">
        <w:rPr>
          <w:color w:val="000000"/>
          <w:lang w:eastAsia="ru-RU" w:bidi="ru-RU"/>
        </w:rPr>
        <w:t>анализа</w:t>
      </w:r>
      <w:r w:rsidR="006503F5">
        <w:rPr>
          <w:color w:val="000000"/>
          <w:lang w:eastAsia="ru-RU" w:bidi="ru-RU"/>
        </w:rPr>
        <w:t xml:space="preserve">, а также </w:t>
      </w:r>
      <w:r w:rsidR="009712A0">
        <w:rPr>
          <w:color w:val="000000"/>
          <w:lang w:eastAsia="ru-RU" w:bidi="ru-RU"/>
        </w:rPr>
        <w:t>функциональных проб  и результатов функциональной диагностики при обследовании по поводу эндокринных факторов бесплодия.</w:t>
      </w:r>
    </w:p>
    <w:p w14:paraId="3054DC55" w14:textId="77777777"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14:paraId="42956B6A" w14:textId="77777777"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7946A6BC" w14:textId="77777777"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0B5B6F">
        <w:rPr>
          <w:color w:val="000000"/>
          <w:lang w:eastAsia="ru-RU" w:bidi="ru-RU"/>
        </w:rPr>
        <w:t>выявления пациентов бесплодия</w:t>
      </w:r>
      <w:r w:rsidR="008E6F3C">
        <w:rPr>
          <w:color w:val="000000"/>
          <w:lang w:eastAsia="ru-RU" w:bidi="ru-RU"/>
        </w:rPr>
        <w:t>;</w:t>
      </w:r>
    </w:p>
    <w:p w14:paraId="26776359" w14:textId="77777777" w:rsidR="00E31657" w:rsidRPr="000F758E" w:rsidRDefault="00E56081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0B5B6F">
        <w:rPr>
          <w:color w:val="000000"/>
          <w:lang w:eastAsia="ru-RU" w:bidi="ru-RU"/>
        </w:rPr>
        <w:t>эндокринных факторов бесплодия</w:t>
      </w:r>
      <w:r w:rsidR="008E6F3C">
        <w:rPr>
          <w:color w:val="000000"/>
          <w:lang w:eastAsia="ru-RU" w:bidi="ru-RU"/>
        </w:rPr>
        <w:t>;</w:t>
      </w:r>
    </w:p>
    <w:p w14:paraId="4D2B1A48" w14:textId="77777777" w:rsidR="000F758E" w:rsidRPr="00E31657" w:rsidRDefault="000F758E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консультирования </w:t>
      </w:r>
      <w:r w:rsidR="000B5B6F">
        <w:rPr>
          <w:color w:val="000000"/>
          <w:lang w:eastAsia="ru-RU" w:bidi="ru-RU"/>
        </w:rPr>
        <w:t>пациентов с сопутствующими эндокринными заболеваниями при планировании ими беременности с привлечением методов ВРТ</w:t>
      </w:r>
      <w:r w:rsidR="008E6F3C">
        <w:rPr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</w:t>
      </w:r>
    </w:p>
    <w:p w14:paraId="099C2AE7" w14:textId="77777777" w:rsidR="00E31657" w:rsidRPr="00E31657" w:rsidRDefault="00661DDB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выявлени</w:t>
      </w:r>
      <w:r w:rsidR="000B5B6F">
        <w:rPr>
          <w:color w:val="000000"/>
          <w:lang w:eastAsia="ru-RU" w:bidi="ru-RU"/>
        </w:rPr>
        <w:t>я других факторов бесплодия</w:t>
      </w:r>
      <w:r w:rsidR="008E6F3C">
        <w:rPr>
          <w:color w:val="000000"/>
          <w:lang w:eastAsia="ru-RU" w:bidi="ru-RU"/>
        </w:rPr>
        <w:t>;</w:t>
      </w:r>
    </w:p>
    <w:p w14:paraId="4726A53A" w14:textId="77777777" w:rsidR="00663C5A" w:rsidRPr="0098671E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 xml:space="preserve">назначения медикаментозной 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>
        <w:rPr>
          <w:color w:val="000000"/>
          <w:lang w:eastAsia="ru-RU" w:bidi="ru-RU"/>
        </w:rPr>
        <w:t xml:space="preserve"> медикаментозного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</w:t>
      </w:r>
      <w:r w:rsidR="000B5B6F">
        <w:rPr>
          <w:color w:val="000000"/>
          <w:lang w:eastAsia="ru-RU" w:bidi="ru-RU"/>
        </w:rPr>
        <w:t xml:space="preserve"> у пациентов на этапе лечения методами ВРТ и при достижении беременности</w:t>
      </w:r>
      <w:r w:rsidR="008E6F3C">
        <w:rPr>
          <w:color w:val="000000"/>
          <w:lang w:eastAsia="ru-RU" w:bidi="ru-RU"/>
        </w:rPr>
        <w:t>.</w:t>
      </w:r>
    </w:p>
    <w:p w14:paraId="309D7C96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4C14A28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64694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7CC880F9" w14:textId="77777777"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0B5B6F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3308C93E" w14:textId="77777777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0B5B6F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14:paraId="731D21DE" w14:textId="77777777"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0B5B6F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3FA93364" w14:textId="77777777"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14:paraId="592552FA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ED1DE3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2EA03182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14:paraId="529809DD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2DBF419F" w14:textId="77777777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0B5B6F" w:rsidRPr="000B5B6F">
        <w:rPr>
          <w:rFonts w:ascii="Times New Roman" w:hAnsi="Times New Roman"/>
          <w:sz w:val="28"/>
          <w:szCs w:val="28"/>
        </w:rPr>
        <w:t>Эндокринные факторы бесплодия у пациентов в программах вспомогательных репродуктивных технологий</w:t>
      </w:r>
      <w:r w:rsidRPr="004C77FF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14:paraId="1D453E8A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047CFC71" w14:textId="77777777"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</w:t>
      </w:r>
      <w:r w:rsidR="000B5B6F">
        <w:rPr>
          <w:rFonts w:ascii="Times New Roman" w:eastAsia="Times New Roman" w:hAnsi="Times New Roman"/>
          <w:sz w:val="28"/>
          <w:szCs w:val="28"/>
          <w:lang w:eastAsia="zh-CN"/>
        </w:rPr>
        <w:t>акушеры-гинекологи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общей (семейной) врачебной практики, врачи терапевты, врачи </w:t>
      </w:r>
      <w:r w:rsidR="000B5B6F">
        <w:rPr>
          <w:rFonts w:ascii="Times New Roman" w:eastAsia="Times New Roman" w:hAnsi="Times New Roman"/>
          <w:sz w:val="28"/>
          <w:szCs w:val="28"/>
          <w:lang w:eastAsia="zh-CN"/>
        </w:rPr>
        <w:t>урологи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49ED3964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2CBF8FF7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4C02BA04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1FA709A4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629986A" w14:textId="77777777" w:rsidR="006F2E62" w:rsidRPr="00E317A0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317A0"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:rsidRPr="00E317A0" w14:paraId="79D90033" w14:textId="77777777" w:rsidTr="007114D1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116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9D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9956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5E04180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58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61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371DE92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конт-</w:t>
            </w:r>
          </w:p>
          <w:p w14:paraId="1186C24F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:rsidRPr="00E317A0" w14:paraId="3ACD6E60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AAE0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2113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BD9B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5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4D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FD2" w14:textId="77777777" w:rsidR="00DB2E27" w:rsidRPr="00E317A0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E14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8999" w14:textId="77777777" w:rsidR="00DB2E27" w:rsidRPr="00E317A0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01A7D42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0C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B6F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4B0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50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D06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888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C2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9F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:rsidRPr="00E317A0" w14:paraId="61D7D823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FFB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D25" w14:textId="77777777" w:rsidR="00DB2E27" w:rsidRPr="00E317A0" w:rsidRDefault="00F2765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Бесплодие  - общие понятия. Методы вспомогательных репродуктивных технологий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E5B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DD4F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5AE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9FD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E83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AC2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RPr="00E317A0" w14:paraId="486F28B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89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FBE" w14:textId="77777777" w:rsidR="00DB2E27" w:rsidRPr="00E317A0" w:rsidRDefault="00F2765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Бесплодие как медицинская и социальная проблема – общие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944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F9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1D1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937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819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5E1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021A3D59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EC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DCA" w14:textId="77777777" w:rsidR="00DB2E27" w:rsidRPr="00E317A0" w:rsidRDefault="00F2765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Алгоритм обследования супружеской пары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497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64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746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796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98E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44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2A3D74D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373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993E" w14:textId="77777777" w:rsidR="00DB2E27" w:rsidRPr="00E317A0" w:rsidRDefault="00F27651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Вспомогательные репродуктивные технологии – классификация, особенности методов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2F3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E5E8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20D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C1D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1A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F08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5E041D0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111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637" w14:textId="77777777" w:rsidR="00DB2E27" w:rsidRPr="00E317A0" w:rsidRDefault="00F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Экстракорпоральное оплодотворение, основные этапы и виды протоколов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FAE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3592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CDB9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81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0E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22B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16961C5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BB3" w14:textId="77777777" w:rsidR="00DB2E27" w:rsidRPr="00E317A0" w:rsidRDefault="00F276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C2C" w14:textId="77777777" w:rsidR="00DB2E27" w:rsidRPr="00E317A0" w:rsidRDefault="00F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Эндокринные факторы бесплодия у пациентов в программа ВРТ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4CD" w14:textId="77777777" w:rsidR="00DB2E27" w:rsidRPr="00E317A0" w:rsidRDefault="002100EF" w:rsidP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2BBE" w14:textId="77777777" w:rsidR="00DB2E27" w:rsidRPr="00E317A0" w:rsidRDefault="002100EF" w:rsidP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7C0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E6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527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18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DB2E27" w:rsidRPr="00E317A0" w14:paraId="7E4C700C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E23C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E1FB" w14:textId="77777777" w:rsidR="00DB2E27" w:rsidRPr="00E317A0" w:rsidRDefault="00DB2E27" w:rsidP="00F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Принципы </w:t>
            </w:r>
            <w:r w:rsidR="00F27651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гормональной р</w:t>
            </w:r>
            <w:r w:rsidR="00264F29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егуляции репродуктивной системы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6EA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9B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D168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55BA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5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A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4F29" w:rsidRPr="00E317A0" w14:paraId="74692FD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7F8F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CE3" w14:textId="77777777" w:rsidR="00264F29" w:rsidRPr="00E317A0" w:rsidRDefault="00264F29" w:rsidP="00F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Гиперандрогения и бесплодие: принципы диагности и лечения пациентов с СПКЯ, ВДКН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56F" w14:textId="77777777" w:rsidR="00264F29" w:rsidRPr="00E317A0" w:rsidRDefault="002100EF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1C6B" w14:textId="77777777" w:rsidR="00264F29" w:rsidRPr="00E317A0" w:rsidRDefault="00264F29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E739" w14:textId="77777777" w:rsidR="00264F29" w:rsidRPr="00E317A0" w:rsidRDefault="002100EF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51F1" w14:textId="77777777" w:rsidR="00264F29" w:rsidRPr="00E317A0" w:rsidRDefault="00264F29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B64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A4D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264F29" w:rsidRPr="00E317A0" w14:paraId="0926BF5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7FCF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C6B2" w14:textId="77777777" w:rsidR="00264F29" w:rsidRPr="00E317A0" w:rsidRDefault="00264F29" w:rsidP="00F2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Гипоталамо-гипофизарные нарушения как причина бесплодия (гиперпролактинемический гипогонадизм, </w:t>
            </w: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гипогитуитаризм)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1BB" w14:textId="77777777" w:rsidR="00264F29" w:rsidRPr="00E317A0" w:rsidRDefault="002100EF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0652" w14:textId="77777777" w:rsidR="00264F29" w:rsidRPr="00E317A0" w:rsidRDefault="00264F29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6D80" w14:textId="77777777" w:rsidR="00264F29" w:rsidRPr="00E317A0" w:rsidRDefault="002100EF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AF1F" w14:textId="77777777" w:rsidR="00264F29" w:rsidRPr="00E317A0" w:rsidRDefault="00264F29" w:rsidP="00EB2E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07B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137" w14:textId="77777777" w:rsidR="00264F29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3B18C88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767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DBD" w14:textId="77777777" w:rsidR="00DB2E27" w:rsidRPr="00E317A0" w:rsidRDefault="002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E317A0">
              <w:rPr>
                <w:rFonts w:ascii="Times New Roman" w:hAnsi="Times New Roman"/>
              </w:rPr>
              <w:t>Сопутствующие эндокринопатии у пациентов с бесплодием на этапе подготовки и в рамках проведения программ вспомогательных репродуктивных технологий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4E6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236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F66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539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07F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A1DF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RPr="00E317A0" w14:paraId="2A16ACCD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E5C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="00DB2E27"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34F" w14:textId="77777777" w:rsidR="00DB2E27" w:rsidRPr="00E317A0" w:rsidRDefault="00264F29" w:rsidP="002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Программы ВРТ у пациентов с сахарным диабетом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36E7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  <w:p w14:paraId="3BB42784" w14:textId="77777777" w:rsidR="00E317A0" w:rsidRPr="00E317A0" w:rsidRDefault="00E317A0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680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448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872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288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826E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:rsidRPr="00E317A0" w14:paraId="33132B5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B3F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  <w:r w:rsidR="00DB2E27"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A143" w14:textId="77777777" w:rsidR="00DB2E27" w:rsidRPr="00E317A0" w:rsidRDefault="002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Патология щитовидной железы и планирование беременности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4DB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44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552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A4D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5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9F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5C37029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0340" w14:textId="77777777" w:rsidR="00DB2E27" w:rsidRPr="00E317A0" w:rsidRDefault="00264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 w:rsidR="00DB2E27" w:rsidRPr="00E317A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62C7" w14:textId="77777777" w:rsidR="00DB2E27" w:rsidRPr="00E317A0" w:rsidRDefault="00264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Других эндокринопатии </w:t>
            </w:r>
            <w:r w:rsidR="002100EF"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 </w:t>
            </w:r>
            <w:r w:rsidRPr="00E317A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их влияние на репродуктивное здоровье и исходы ВРТ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2C70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6FE2" w14:textId="77777777" w:rsidR="00DB2E27" w:rsidRPr="00E317A0" w:rsidRDefault="002100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339" w14:textId="77777777" w:rsidR="00DB2E27" w:rsidRPr="00E317A0" w:rsidRDefault="00E317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32E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61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3C5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E317A0" w14:paraId="62B7C85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8798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B964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361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830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13F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FC7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7FA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74FD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:rsidRPr="00CB23F5" w14:paraId="6804D23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89C" w14:textId="77777777" w:rsidR="00DB2E27" w:rsidRPr="00E317A0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270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7D65" w14:textId="77777777" w:rsidR="00DB2E27" w:rsidRPr="00E317A0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42D7" w14:textId="77777777" w:rsidR="00DB2E27" w:rsidRPr="00E317A0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FF5" w14:textId="77777777" w:rsidR="00DB2E27" w:rsidRPr="00E317A0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2948" w14:textId="77777777" w:rsidR="00DB2E27" w:rsidRPr="00E317A0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95F" w14:textId="77777777" w:rsidR="00DB2E27" w:rsidRPr="00E317A0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E317A0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6E3" w14:textId="77777777" w:rsidR="00DB2E27" w:rsidRPr="00E317A0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C01EB04" w14:textId="77777777" w:rsidR="006B7C3D" w:rsidRPr="00CB23F5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14:paraId="10A1BA2B" w14:textId="77777777" w:rsidR="00695C9C" w:rsidRPr="00CB23F5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zh-CN"/>
        </w:rPr>
      </w:pPr>
    </w:p>
    <w:p w14:paraId="276FC290" w14:textId="77777777" w:rsidR="00695C9C" w:rsidRPr="00E317A0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E317A0"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0587D7F9" w14:textId="77777777" w:rsidR="00695C9C" w:rsidRPr="00E317A0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750DC6" w14:textId="77777777" w:rsidR="00695C9C" w:rsidRPr="000770B8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 w:rsidRPr="000770B8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профессионального образования, утвержденном в ФГБУ </w:t>
      </w:r>
      <w:r w:rsidR="00A6700D" w:rsidRPr="000770B8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 w:rsidRPr="000770B8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0770B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09E461C" w14:textId="77777777" w:rsidR="006F2E62" w:rsidRPr="000770B8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F49092" w14:textId="77777777" w:rsidR="006F2E62" w:rsidRPr="000770B8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B5ACFD5" w14:textId="77777777" w:rsidR="00333B17" w:rsidRPr="000770B8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7" w:name="OLE_LINK3"/>
      <w:bookmarkStart w:id="8" w:name="OLE_LINK2"/>
      <w:bookmarkStart w:id="9" w:name="OLE_LINK1"/>
    </w:p>
    <w:p w14:paraId="65E41152" w14:textId="77777777" w:rsidR="00333B17" w:rsidRPr="000770B8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 w:rsidRPr="000770B8"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797959C4" w14:textId="77777777" w:rsidR="00333B17" w:rsidRPr="000770B8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3F75B262" w14:textId="77777777" w:rsidR="00333B17" w:rsidRPr="000770B8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770B8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21492EF2" w14:textId="77777777" w:rsidR="00333B17" w:rsidRPr="000770B8" w:rsidRDefault="00333B17" w:rsidP="00F050FF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770B8">
        <w:rPr>
          <w:color w:val="000000"/>
          <w:lang w:eastAsia="ru-RU" w:bidi="ru-RU"/>
        </w:rPr>
        <w:t>Эндокринология: национальное руководств</w:t>
      </w:r>
      <w:r w:rsidR="00F36DBB" w:rsidRPr="000770B8">
        <w:rPr>
          <w:color w:val="000000"/>
          <w:lang w:eastAsia="ru-RU" w:bidi="ru-RU"/>
        </w:rPr>
        <w:t xml:space="preserve">о. / Под ред. И.И. Дедова, Г.А. </w:t>
      </w:r>
      <w:r w:rsidRPr="000770B8">
        <w:rPr>
          <w:color w:val="000000"/>
          <w:lang w:eastAsia="ru-RU" w:bidi="ru-RU"/>
        </w:rPr>
        <w:t>Мельн</w:t>
      </w:r>
      <w:r w:rsidR="00F050FF" w:rsidRPr="000770B8">
        <w:rPr>
          <w:color w:val="000000"/>
          <w:lang w:eastAsia="ru-RU" w:bidi="ru-RU"/>
        </w:rPr>
        <w:t xml:space="preserve">иченко. – М.: ГЭОТАР–Медиа, 2016. </w:t>
      </w:r>
    </w:p>
    <w:p w14:paraId="0F9ACF7C" w14:textId="77777777" w:rsidR="00B048B3" w:rsidRPr="000770B8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770B8">
        <w:rPr>
          <w:color w:val="000000"/>
          <w:lang w:eastAsia="ru-RU" w:bidi="ru-RU"/>
        </w:rPr>
        <w:t>Национальное руководство «Эндокринология» под редакцией ИИ Дедова и ГА Мельниченко 2-е издание, переработанное и дополненное М: Геотар-Медиа, 2016, 1112 стр.</w:t>
      </w:r>
    </w:p>
    <w:p w14:paraId="41168C28" w14:textId="77777777" w:rsidR="00B048B3" w:rsidRPr="000770B8" w:rsidRDefault="00B048B3" w:rsidP="00B048B3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0770B8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190BB8A5" w14:textId="77777777" w:rsidR="000770B8" w:rsidRPr="000770B8" w:rsidRDefault="000770B8" w:rsidP="000770B8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Корнеева И.Е. Эффективность лечения бесплодия в амбулаторных условиях //Акушерство и гинекология. - 2002. - № 1. - С. 13 - 17.</w:t>
      </w:r>
    </w:p>
    <w:p w14:paraId="71B74ACF" w14:textId="77777777" w:rsidR="000770B8" w:rsidRPr="000770B8" w:rsidRDefault="000770B8" w:rsidP="000770B8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Назаренко Т., Мишиева Н.</w:t>
      </w:r>
      <w:r w:rsidR="00A60DDA">
        <w:rPr>
          <w:rFonts w:eastAsiaTheme="minorHAnsi"/>
          <w:color w:val="000000"/>
        </w:rPr>
        <w:t xml:space="preserve"> Г </w:t>
      </w:r>
      <w:r w:rsidRPr="000770B8">
        <w:rPr>
          <w:rFonts w:eastAsiaTheme="minorHAnsi"/>
          <w:color w:val="000000"/>
        </w:rPr>
        <w:t>Бесплодие и возраст. Пути решения проблемы</w:t>
      </w:r>
      <w:r>
        <w:rPr>
          <w:rFonts w:eastAsiaTheme="minorHAnsi"/>
          <w:color w:val="000000"/>
        </w:rPr>
        <w:t>. – М: Медпресс-информ, 2016.</w:t>
      </w:r>
    </w:p>
    <w:p w14:paraId="1FBDE23C" w14:textId="77777777" w:rsidR="000770B8" w:rsidRPr="000770B8" w:rsidRDefault="000770B8" w:rsidP="000770B8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Подзолкова Н.М, Кузнецова И.В, Колода Ю.А. Э</w:t>
      </w:r>
      <w:r w:rsidRPr="000770B8">
        <w:rPr>
          <w:rFonts w:eastAsiaTheme="minorHAnsi"/>
          <w:color w:val="000000"/>
        </w:rPr>
        <w:t>ндокринное бесплодие. От программируемого зачатия до экстракорпорального оплодотворения. Руководство для врачей.</w:t>
      </w:r>
      <w:r>
        <w:rPr>
          <w:rFonts w:eastAsiaTheme="minorHAnsi"/>
          <w:color w:val="000000"/>
        </w:rPr>
        <w:t xml:space="preserve"> – М,</w:t>
      </w:r>
      <w:r w:rsidR="00A60DDA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«ГЭОТАР-МЕД», </w:t>
      </w:r>
      <w:r w:rsidRPr="000770B8">
        <w:rPr>
          <w:rFonts w:eastAsiaTheme="minorHAnsi"/>
          <w:color w:val="000000"/>
        </w:rPr>
        <w:t>2014</w:t>
      </w:r>
      <w:r>
        <w:rPr>
          <w:rFonts w:eastAsiaTheme="minorHAnsi"/>
          <w:color w:val="000000"/>
        </w:rPr>
        <w:t>.</w:t>
      </w:r>
      <w:r w:rsidRPr="000770B8">
        <w:rPr>
          <w:rFonts w:eastAsiaTheme="minorHAnsi"/>
          <w:color w:val="000000"/>
        </w:rPr>
        <w:t xml:space="preserve"> </w:t>
      </w:r>
    </w:p>
    <w:p w14:paraId="529CD52A" w14:textId="77777777" w:rsidR="000770B8" w:rsidRPr="000770B8" w:rsidRDefault="000770B8" w:rsidP="000770B8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Подзолкова Н.М., Гладкова О.Л. Дифференциальная диагностика в гинекологии, «ГЭОТАР-МЕД»</w:t>
      </w:r>
      <w:r>
        <w:rPr>
          <w:rFonts w:eastAsiaTheme="minorHAnsi"/>
          <w:color w:val="000000"/>
        </w:rPr>
        <w:t>,</w:t>
      </w:r>
      <w:r w:rsidRPr="000770B8">
        <w:rPr>
          <w:rFonts w:eastAsiaTheme="minorHAnsi"/>
          <w:color w:val="000000"/>
        </w:rPr>
        <w:t xml:space="preserve"> 2003</w:t>
      </w:r>
      <w:r>
        <w:rPr>
          <w:rFonts w:eastAsiaTheme="minorHAnsi"/>
          <w:color w:val="000000"/>
        </w:rPr>
        <w:t>.</w:t>
      </w:r>
    </w:p>
    <w:p w14:paraId="65AA7D07" w14:textId="77777777" w:rsidR="000770B8" w:rsidRDefault="000770B8" w:rsidP="000770B8">
      <w:pPr>
        <w:pStyle w:val="af6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Сметник В.П., Тумилович Л.Г. Неоперативная гинекология. – М., 1998.</w:t>
      </w:r>
    </w:p>
    <w:p w14:paraId="588B6E67" w14:textId="77777777" w:rsidR="000770B8" w:rsidRPr="000770B8" w:rsidRDefault="000770B8" w:rsidP="000770B8">
      <w:pPr>
        <w:pStyle w:val="af6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8173EBB" w14:textId="77777777" w:rsidR="000770B8" w:rsidRDefault="000770B8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2931EE76" w14:textId="77777777" w:rsidR="009655FB" w:rsidRDefault="009655FB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7B95EA79" w14:textId="77777777" w:rsidR="009655FB" w:rsidRDefault="009655FB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</w:p>
    <w:p w14:paraId="2ECE798E" w14:textId="77777777" w:rsidR="00333B17" w:rsidRPr="000770B8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 w:rsidRPr="000770B8">
        <w:rPr>
          <w:b/>
          <w:color w:val="000000"/>
          <w:lang w:eastAsia="ru-RU" w:bidi="ru-RU"/>
        </w:rPr>
        <w:lastRenderedPageBreak/>
        <w:t>Дополнительная литература:</w:t>
      </w:r>
    </w:p>
    <w:p w14:paraId="421A0C89" w14:textId="77777777" w:rsidR="00333B17" w:rsidRPr="000770B8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C5FB656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Адамян Л.В., Курило Л.Ф, Арсланян К.Н., Шуляк И.Ю. Фолликулогенез при некоторых формах эндометриоза // Проблемы репродукции. - 2009. - №1. - С.78-85.</w:t>
      </w:r>
    </w:p>
    <w:p w14:paraId="7EE307E3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Адамян Л.В., Мурватов К.Д., Обельчак И.С., Хорошун Н.Д. Клиническое использование мультиспиральной компьютерной гистеросальпингографии в оценке женского фактора бесплодия//Проблемы репродуктологии. –2011. – Специальный выпуск. – С.27-27.</w:t>
      </w:r>
    </w:p>
    <w:p w14:paraId="66B27909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770B8">
        <w:rPr>
          <w:rFonts w:eastAsiaTheme="minorHAnsi"/>
          <w:color w:val="000000"/>
        </w:rPr>
        <w:t xml:space="preserve">Боярский К.Ю. Клиническое значение тестов определения овариального резерва в лечении бесплодия: Автореф. дис. ... канд. мед. наук: 14.00.01 / С.-Петерб. гос. мед. акад. последипл. образования. -СПб., 2000. - 26 с. </w:t>
      </w:r>
    </w:p>
    <w:p w14:paraId="67DA4BEC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Кира Е.Ф. Эволюция репродуктивной хирургии в гинекологии// Акушерство и гинекология. – 2007.- № 5. - С. 59-62.</w:t>
      </w:r>
    </w:p>
    <w:p w14:paraId="3C9F8E07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Краснопольская К.В., Штыров С.В., Бугеренко А.Е., Чеченова Ф.К. Хирургическое</w:t>
      </w:r>
      <w:r>
        <w:rPr>
          <w:rFonts w:eastAsiaTheme="minorHAnsi"/>
          <w:color w:val="000000"/>
        </w:rPr>
        <w:t xml:space="preserve"> </w:t>
      </w:r>
      <w:r w:rsidRPr="000770B8">
        <w:rPr>
          <w:rFonts w:eastAsiaTheme="minorHAnsi"/>
          <w:color w:val="000000"/>
        </w:rPr>
        <w:t xml:space="preserve">лечение трубного бесплодия: (Обзор литературы) //Пробл. Репродукции. – 2000. - N 4. – С. 31-35. </w:t>
      </w:r>
    </w:p>
    <w:p w14:paraId="50186E98" w14:textId="77777777" w:rsidR="00A60DDA" w:rsidRPr="000770B8" w:rsidRDefault="00A60DDA" w:rsidP="00A60DDA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Овсянникова Т.В., Камилова Д.П, Феоктистов А.А. Современные принципы диагностики и лечения бесплодного брака // Гинекология. – 2009. - №4. – С. 30-33.</w:t>
      </w:r>
    </w:p>
    <w:p w14:paraId="5457A512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</w:pPr>
      <w:r w:rsidRPr="000770B8">
        <w:rPr>
          <w:rFonts w:eastAsiaTheme="minorHAnsi"/>
          <w:color w:val="000000"/>
        </w:rPr>
        <w:t>Сухих Г.Т., Адамян Л.В. Охрана репродуктивного здоровья – приоритетная проблема здравоохранения// Проблемы репродуктологии. – 2011. – Специальный выпуск. – С.5-</w:t>
      </w:r>
    </w:p>
    <w:p w14:paraId="416473F0" w14:textId="77777777" w:rsidR="000770B8" w:rsidRPr="000770B8" w:rsidRDefault="000770B8" w:rsidP="000770B8">
      <w:pPr>
        <w:pStyle w:val="af6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0770B8">
        <w:rPr>
          <w:rFonts w:eastAsiaTheme="minorHAnsi"/>
          <w:color w:val="000000"/>
        </w:rPr>
        <w:t>Яковенко Е.М.</w:t>
      </w:r>
      <w:r>
        <w:rPr>
          <w:rFonts w:eastAsiaTheme="minorHAnsi"/>
          <w:color w:val="000000"/>
        </w:rPr>
        <w:t xml:space="preserve">, Яковенко С.А. </w:t>
      </w:r>
      <w:r w:rsidRPr="000770B8">
        <w:rPr>
          <w:rFonts w:eastAsiaTheme="minorHAnsi"/>
          <w:color w:val="000000"/>
        </w:rPr>
        <w:t>Экст</w:t>
      </w:r>
      <w:r>
        <w:rPr>
          <w:rFonts w:eastAsiaTheme="minorHAnsi"/>
          <w:color w:val="000000"/>
        </w:rPr>
        <w:t>ракорпоральное оплодотворение (</w:t>
      </w:r>
      <w:r w:rsidRPr="000770B8">
        <w:rPr>
          <w:rFonts w:eastAsiaTheme="minorHAnsi"/>
          <w:color w:val="000000"/>
        </w:rPr>
        <w:t>ЭКО) и други</w:t>
      </w:r>
      <w:r>
        <w:rPr>
          <w:rFonts w:eastAsiaTheme="minorHAnsi"/>
          <w:color w:val="000000"/>
        </w:rPr>
        <w:t>е методы преодоления бесплодия. – М, 2016.</w:t>
      </w:r>
    </w:p>
    <w:p w14:paraId="45C09435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8027CD0" w14:textId="77777777" w:rsidR="00A60DDA" w:rsidRPr="000770B8" w:rsidRDefault="00A60DDA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27AFCF2" w14:textId="77777777" w:rsidR="00333B17" w:rsidRPr="000770B8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0770B8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2346B166" w14:textId="77777777" w:rsidR="00333B17" w:rsidRPr="000770B8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 w:rsidRPr="000770B8">
        <w:t xml:space="preserve">Презентации в </w:t>
      </w:r>
      <w:r w:rsidRPr="000770B8">
        <w:rPr>
          <w:lang w:val="en-US"/>
        </w:rPr>
        <w:t>PowerPoint</w:t>
      </w:r>
      <w:r w:rsidRPr="000770B8">
        <w:t xml:space="preserve"> по темам, включенным в учебный план.</w:t>
      </w:r>
    </w:p>
    <w:p w14:paraId="6A105597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0FB08343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1A8490E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30075BE7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255D8124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0F30075A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4096CB8B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r w:rsidR="000B5B6F">
        <w:t>Вспомогательных репродуктивных технологий</w:t>
      </w:r>
    </w:p>
    <w:p w14:paraId="740B6C65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754A5F91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414127B3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7B9CD8C3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Негатоскоп</w:t>
      </w:r>
    </w:p>
    <w:p w14:paraId="4B34AFC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3F47E704" w14:textId="77777777"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14:paraId="4476651C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D11C927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E5E98CF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E192D8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0B5B6F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0B5B6F" w:rsidRPr="007D2938">
        <w:rPr>
          <w:rFonts w:ascii="Times New Roman" w:hAnsi="Times New Roman"/>
          <w:sz w:val="24"/>
          <w:szCs w:val="24"/>
        </w:rPr>
        <w:t>Эндокринные факторы бесплодия у пациентов в программах вспомогательных репродуктивных технологий</w:t>
      </w:r>
      <w:r>
        <w:rPr>
          <w:rFonts w:ascii="Times New Roman" w:hAnsi="Times New Roman"/>
          <w:sz w:val="24"/>
          <w:szCs w:val="24"/>
        </w:rPr>
        <w:t xml:space="preserve">» в соответствии с требованиями </w:t>
      </w:r>
      <w:r>
        <w:rPr>
          <w:rFonts w:ascii="Times New Roman" w:hAnsi="Times New Roman"/>
          <w:sz w:val="24"/>
          <w:szCs w:val="24"/>
        </w:rPr>
        <w:lastRenderedPageBreak/>
        <w:t xml:space="preserve">квалификационных характеристик и профессиональных стандартов. Итоговая аттестация </w:t>
      </w:r>
      <w:bookmarkStart w:id="10" w:name="_GoBack"/>
      <w:r>
        <w:rPr>
          <w:rFonts w:ascii="Times New Roman" w:hAnsi="Times New Roman"/>
          <w:sz w:val="24"/>
          <w:szCs w:val="24"/>
        </w:rPr>
        <w:t>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</w:t>
      </w:r>
      <w:bookmarkEnd w:id="10"/>
      <w:r w:rsidR="004E6196">
        <w:rPr>
          <w:rFonts w:ascii="Times New Roman" w:hAnsi="Times New Roman"/>
          <w:sz w:val="24"/>
          <w:szCs w:val="24"/>
        </w:rPr>
        <w:t>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76F40594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0A86FCCC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779CE5AA" w14:textId="77777777" w:rsidR="007114D1" w:rsidRDefault="000B5B6F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Пациентка Р.</w:t>
      </w:r>
      <w:r w:rsidR="007114D1">
        <w:rPr>
          <w:rFonts w:ascii="Times New Roman" w:hAnsi="Times New Roman"/>
          <w:sz w:val="24"/>
          <w:szCs w:val="24"/>
        </w:rPr>
        <w:t xml:space="preserve">, 35 лет </w:t>
      </w:r>
      <w:r>
        <w:rPr>
          <w:rFonts w:ascii="Times New Roman" w:hAnsi="Times New Roman"/>
          <w:sz w:val="24"/>
          <w:szCs w:val="24"/>
        </w:rPr>
        <w:t xml:space="preserve">братилась к врачу женской консультации по поводу отсутствия </w:t>
      </w:r>
      <w:r w:rsidR="007114D1">
        <w:rPr>
          <w:rFonts w:ascii="Times New Roman" w:hAnsi="Times New Roman"/>
          <w:sz w:val="24"/>
          <w:szCs w:val="24"/>
        </w:rPr>
        <w:t xml:space="preserve">наступления </w:t>
      </w:r>
      <w:r>
        <w:rPr>
          <w:rFonts w:ascii="Times New Roman" w:hAnsi="Times New Roman"/>
          <w:sz w:val="24"/>
          <w:szCs w:val="24"/>
        </w:rPr>
        <w:t>беременности в течение 2,5 лет при</w:t>
      </w:r>
      <w:r w:rsidR="007114D1">
        <w:rPr>
          <w:rFonts w:ascii="Times New Roman" w:hAnsi="Times New Roman"/>
          <w:sz w:val="24"/>
          <w:szCs w:val="24"/>
        </w:rPr>
        <w:t xml:space="preserve"> отсутствии использования средств контрацепции. Со слов женщины, супруг здоров, от первого брака имеет 2 детей – 6 и 10 лет, заключение по анализу спермограммы – нормозооспермия.</w:t>
      </w:r>
    </w:p>
    <w:p w14:paraId="59239681" w14:textId="77777777" w:rsidR="00333B17" w:rsidRDefault="007114D1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помимо бесплодия, женщину беспокоят периодические задержки менструального цикла до 7-10 дней. Так же она вынуждена регулярно посещать косметолога по проблеме акне, беспокоящей ее с подросткового возраста. </w:t>
      </w:r>
    </w:p>
    <w:p w14:paraId="4551B47F" w14:textId="77777777" w:rsidR="007114D1" w:rsidRDefault="007114D1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у врача акушера-гинеколога она регулярно не наблюдалась. Мама пациентки рассказывала  ей так же о своем нерегулярном менструальном цикле, беременность у нее была единственная, наступила после 5 лет брака. В настоящее время мама страдает гипертонической болезнью, сахарным диабетом 2 типа т ожирением. Сама Р. Вынуждена постоянно придерживаться диеты из-за тенденции к набору массы тела.</w:t>
      </w:r>
    </w:p>
    <w:p w14:paraId="6A86399C" w14:textId="77777777" w:rsidR="00A9442D" w:rsidRDefault="00A9442D" w:rsidP="00A9442D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</w:p>
    <w:p w14:paraId="3A5D0ED5" w14:textId="77777777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 xml:space="preserve">Какое заболевание можно заподозрить у </w:t>
      </w:r>
      <w:r w:rsidR="007114D1">
        <w:t>Р.</w:t>
      </w:r>
      <w:r w:rsidR="00333B17" w:rsidRPr="008A7A5B">
        <w:t>?</w:t>
      </w:r>
    </w:p>
    <w:p w14:paraId="1F0ED035" w14:textId="77777777" w:rsidR="006758F9" w:rsidRPr="008A7A5B" w:rsidRDefault="008A7A5B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основные факторы риска стали известны после описания</w:t>
      </w:r>
      <w:r w:rsidR="007114D1">
        <w:t xml:space="preserve"> анамнеза</w:t>
      </w:r>
      <w:r w:rsidRPr="008A7A5B">
        <w:t xml:space="preserve">? </w:t>
      </w:r>
    </w:p>
    <w:p w14:paraId="16563808" w14:textId="77777777" w:rsidR="00333B17" w:rsidRPr="008A7A5B" w:rsidRDefault="0081389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</w:t>
      </w:r>
      <w:r w:rsidR="00333B17" w:rsidRPr="008A7A5B">
        <w:t xml:space="preserve"> обследование необходимо провести для уточнения диагноза?</w:t>
      </w:r>
    </w:p>
    <w:p w14:paraId="04B035EB" w14:textId="77777777" w:rsidR="008A7A5B" w:rsidRPr="008A7A5B" w:rsidRDefault="00333B17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Какие методы лечения могут быть применены в данной ситуации?</w:t>
      </w:r>
    </w:p>
    <w:p w14:paraId="771135E2" w14:textId="77777777" w:rsidR="00813897" w:rsidRPr="008A7A5B" w:rsidRDefault="006758F9" w:rsidP="008A7A5B">
      <w:pPr>
        <w:pStyle w:val="af6"/>
        <w:widowControl w:val="0"/>
        <w:numPr>
          <w:ilvl w:val="0"/>
          <w:numId w:val="23"/>
        </w:numPr>
        <w:spacing w:line="283" w:lineRule="exact"/>
        <w:contextualSpacing/>
      </w:pPr>
      <w:r w:rsidRPr="008A7A5B">
        <w:t>В случае назначения лечения, как наблюдать за пациенткой?</w:t>
      </w:r>
    </w:p>
    <w:p w14:paraId="6A4D242C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C719C9A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1D919A03" w14:textId="77777777" w:rsidR="00333B17" w:rsidRDefault="007114D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СПКЯ – классификицация, критерии постановки диагноза.</w:t>
      </w:r>
    </w:p>
    <w:p w14:paraId="75CE254D" w14:textId="77777777" w:rsidR="00813897" w:rsidRDefault="007114D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ВДКН, генетическое обследование</w:t>
      </w:r>
    </w:p>
    <w:p w14:paraId="0079EE5E" w14:textId="77777777" w:rsidR="007114D1" w:rsidRDefault="007114D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Тиреотоксикоз и планирование беременности</w:t>
      </w:r>
    </w:p>
    <w:p w14:paraId="60BA3522" w14:textId="77777777" w:rsidR="007114D1" w:rsidRDefault="007114D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ХАИТ и планирование беременности</w:t>
      </w:r>
    </w:p>
    <w:p w14:paraId="629540E7" w14:textId="77777777" w:rsidR="007114D1" w:rsidRDefault="007114D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Сахарные диабет, особенности терапии при беременности, целевые показатели.</w:t>
      </w:r>
    </w:p>
    <w:p w14:paraId="12E7C446" w14:textId="77777777" w:rsidR="007114D1" w:rsidRDefault="007114D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Гипепролактинемический гипогонадизм и бесплодие</w:t>
      </w:r>
    </w:p>
    <w:p w14:paraId="6061698D" w14:textId="77777777" w:rsidR="006B700D" w:rsidRDefault="006B700D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Гипогонадотропный гипогонадизм и планирвоание беременности</w:t>
      </w:r>
    </w:p>
    <w:p w14:paraId="141B21F0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7"/>
    <w:bookmarkEnd w:id="8"/>
    <w:bookmarkEnd w:id="9"/>
    <w:p w14:paraId="6FF1B440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C0C5" w14:textId="77777777" w:rsidR="00E3225D" w:rsidRDefault="00E3225D">
      <w:pPr>
        <w:spacing w:after="0" w:line="240" w:lineRule="auto"/>
      </w:pPr>
      <w:r>
        <w:separator/>
      </w:r>
    </w:p>
  </w:endnote>
  <w:endnote w:type="continuationSeparator" w:id="0">
    <w:p w14:paraId="443C0044" w14:textId="77777777" w:rsidR="00E3225D" w:rsidRDefault="00E3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B6AF" w14:textId="77777777" w:rsidR="007114D1" w:rsidRDefault="00AC2D6A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14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4D1">
      <w:rPr>
        <w:rStyle w:val="aa"/>
        <w:noProof/>
      </w:rPr>
      <w:t>2</w:t>
    </w:r>
    <w:r>
      <w:rPr>
        <w:rStyle w:val="aa"/>
      </w:rPr>
      <w:fldChar w:fldCharType="end"/>
    </w:r>
  </w:p>
  <w:p w14:paraId="4EFA2640" w14:textId="77777777" w:rsidR="007114D1" w:rsidRDefault="007114D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F964" w14:textId="77777777" w:rsidR="007114D1" w:rsidRDefault="00AC2D6A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14D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0D11">
      <w:rPr>
        <w:rStyle w:val="aa"/>
        <w:noProof/>
      </w:rPr>
      <w:t>10</w:t>
    </w:r>
    <w:r>
      <w:rPr>
        <w:rStyle w:val="aa"/>
      </w:rPr>
      <w:fldChar w:fldCharType="end"/>
    </w:r>
  </w:p>
  <w:p w14:paraId="1E9E5476" w14:textId="77777777" w:rsidR="007114D1" w:rsidRDefault="007114D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CF7B" w14:textId="77777777" w:rsidR="00E3225D" w:rsidRDefault="00E3225D">
      <w:pPr>
        <w:spacing w:after="0" w:line="240" w:lineRule="auto"/>
      </w:pPr>
      <w:r>
        <w:separator/>
      </w:r>
    </w:p>
  </w:footnote>
  <w:footnote w:type="continuationSeparator" w:id="0">
    <w:p w14:paraId="5BAFBFF5" w14:textId="77777777" w:rsidR="00E3225D" w:rsidRDefault="00E3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AA699A"/>
    <w:multiLevelType w:val="hybridMultilevel"/>
    <w:tmpl w:val="170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"/>
  </w:num>
  <w:num w:numId="5">
    <w:abstractNumId w:val="24"/>
  </w:num>
  <w:num w:numId="6">
    <w:abstractNumId w:val="21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9"/>
  </w:num>
  <w:num w:numId="24">
    <w:abstractNumId w:val="0"/>
  </w:num>
  <w:num w:numId="25">
    <w:abstractNumId w:val="15"/>
  </w:num>
  <w:num w:numId="26">
    <w:abstractNumId w:val="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981"/>
    <w:rsid w:val="00007F06"/>
    <w:rsid w:val="00012F8A"/>
    <w:rsid w:val="000441E1"/>
    <w:rsid w:val="00053C69"/>
    <w:rsid w:val="00066894"/>
    <w:rsid w:val="000770B8"/>
    <w:rsid w:val="00081DFD"/>
    <w:rsid w:val="000B5B6F"/>
    <w:rsid w:val="000E21A4"/>
    <w:rsid w:val="000F14D8"/>
    <w:rsid w:val="000F758E"/>
    <w:rsid w:val="0011564A"/>
    <w:rsid w:val="0013032C"/>
    <w:rsid w:val="001404CB"/>
    <w:rsid w:val="001470FA"/>
    <w:rsid w:val="001B77F2"/>
    <w:rsid w:val="001C164A"/>
    <w:rsid w:val="001E6380"/>
    <w:rsid w:val="001F0814"/>
    <w:rsid w:val="0020425A"/>
    <w:rsid w:val="002100EF"/>
    <w:rsid w:val="0021232D"/>
    <w:rsid w:val="0024215B"/>
    <w:rsid w:val="00246C80"/>
    <w:rsid w:val="00264F29"/>
    <w:rsid w:val="002827B1"/>
    <w:rsid w:val="00285F5A"/>
    <w:rsid w:val="00287A28"/>
    <w:rsid w:val="00290296"/>
    <w:rsid w:val="00297DD5"/>
    <w:rsid w:val="002B62ED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90A79"/>
    <w:rsid w:val="003C01B2"/>
    <w:rsid w:val="003D7CEC"/>
    <w:rsid w:val="00412156"/>
    <w:rsid w:val="00423D20"/>
    <w:rsid w:val="004671DA"/>
    <w:rsid w:val="00476B50"/>
    <w:rsid w:val="004C695E"/>
    <w:rsid w:val="004C77FF"/>
    <w:rsid w:val="004D625C"/>
    <w:rsid w:val="004E6196"/>
    <w:rsid w:val="004E67F1"/>
    <w:rsid w:val="00507CCB"/>
    <w:rsid w:val="00511D8B"/>
    <w:rsid w:val="00535D4A"/>
    <w:rsid w:val="005454FB"/>
    <w:rsid w:val="00553AE0"/>
    <w:rsid w:val="00575758"/>
    <w:rsid w:val="005A3B19"/>
    <w:rsid w:val="005C2980"/>
    <w:rsid w:val="005C6B20"/>
    <w:rsid w:val="005C6E78"/>
    <w:rsid w:val="005C754C"/>
    <w:rsid w:val="005D1C45"/>
    <w:rsid w:val="005D5313"/>
    <w:rsid w:val="005E1E9B"/>
    <w:rsid w:val="00617790"/>
    <w:rsid w:val="006503F5"/>
    <w:rsid w:val="00650EA8"/>
    <w:rsid w:val="00661DDB"/>
    <w:rsid w:val="00663C5A"/>
    <w:rsid w:val="006758F9"/>
    <w:rsid w:val="00690D11"/>
    <w:rsid w:val="00695C9C"/>
    <w:rsid w:val="006B1ED8"/>
    <w:rsid w:val="006B700D"/>
    <w:rsid w:val="006B7C3D"/>
    <w:rsid w:val="006F2E62"/>
    <w:rsid w:val="006F5262"/>
    <w:rsid w:val="007114D1"/>
    <w:rsid w:val="00713422"/>
    <w:rsid w:val="00726CE5"/>
    <w:rsid w:val="0073691D"/>
    <w:rsid w:val="007461B6"/>
    <w:rsid w:val="00746BA7"/>
    <w:rsid w:val="0075264D"/>
    <w:rsid w:val="007642BE"/>
    <w:rsid w:val="00775064"/>
    <w:rsid w:val="00776043"/>
    <w:rsid w:val="00795B22"/>
    <w:rsid w:val="007B53C7"/>
    <w:rsid w:val="007C3309"/>
    <w:rsid w:val="007D2938"/>
    <w:rsid w:val="00813897"/>
    <w:rsid w:val="00822307"/>
    <w:rsid w:val="00834DA6"/>
    <w:rsid w:val="008429BA"/>
    <w:rsid w:val="00847D9E"/>
    <w:rsid w:val="008A7A5B"/>
    <w:rsid w:val="008C3615"/>
    <w:rsid w:val="008C6B36"/>
    <w:rsid w:val="008D2802"/>
    <w:rsid w:val="008E6F3C"/>
    <w:rsid w:val="008F0764"/>
    <w:rsid w:val="00923AEE"/>
    <w:rsid w:val="0093713D"/>
    <w:rsid w:val="009655FB"/>
    <w:rsid w:val="009712A0"/>
    <w:rsid w:val="00976121"/>
    <w:rsid w:val="0098253B"/>
    <w:rsid w:val="0098671E"/>
    <w:rsid w:val="009979C2"/>
    <w:rsid w:val="009A4ED1"/>
    <w:rsid w:val="009B284A"/>
    <w:rsid w:val="009C2957"/>
    <w:rsid w:val="009C5F82"/>
    <w:rsid w:val="009C6C08"/>
    <w:rsid w:val="009D3A99"/>
    <w:rsid w:val="009D4FD3"/>
    <w:rsid w:val="009E19B5"/>
    <w:rsid w:val="009E7FE5"/>
    <w:rsid w:val="00A45EBA"/>
    <w:rsid w:val="00A60DDA"/>
    <w:rsid w:val="00A6700D"/>
    <w:rsid w:val="00A868E6"/>
    <w:rsid w:val="00A93C79"/>
    <w:rsid w:val="00A9442D"/>
    <w:rsid w:val="00AB3F89"/>
    <w:rsid w:val="00AC2D6A"/>
    <w:rsid w:val="00AC3F04"/>
    <w:rsid w:val="00AD62D1"/>
    <w:rsid w:val="00B048B3"/>
    <w:rsid w:val="00B13C10"/>
    <w:rsid w:val="00B20A76"/>
    <w:rsid w:val="00B50706"/>
    <w:rsid w:val="00B51D41"/>
    <w:rsid w:val="00B809CE"/>
    <w:rsid w:val="00B85A3B"/>
    <w:rsid w:val="00B87ECA"/>
    <w:rsid w:val="00BA3047"/>
    <w:rsid w:val="00BB0132"/>
    <w:rsid w:val="00BB51D2"/>
    <w:rsid w:val="00BB7517"/>
    <w:rsid w:val="00BE5CC7"/>
    <w:rsid w:val="00BF7FCA"/>
    <w:rsid w:val="00C14006"/>
    <w:rsid w:val="00C23FD3"/>
    <w:rsid w:val="00C3000E"/>
    <w:rsid w:val="00C53AD7"/>
    <w:rsid w:val="00C73C1E"/>
    <w:rsid w:val="00C85981"/>
    <w:rsid w:val="00C90539"/>
    <w:rsid w:val="00CB23F5"/>
    <w:rsid w:val="00CC31AD"/>
    <w:rsid w:val="00CF45AA"/>
    <w:rsid w:val="00D22E96"/>
    <w:rsid w:val="00D2661D"/>
    <w:rsid w:val="00D3472C"/>
    <w:rsid w:val="00D5739B"/>
    <w:rsid w:val="00DB2E27"/>
    <w:rsid w:val="00DC1736"/>
    <w:rsid w:val="00DC3C91"/>
    <w:rsid w:val="00DC49E0"/>
    <w:rsid w:val="00E11D20"/>
    <w:rsid w:val="00E31657"/>
    <w:rsid w:val="00E317A0"/>
    <w:rsid w:val="00E3225D"/>
    <w:rsid w:val="00E56081"/>
    <w:rsid w:val="00E57719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D6BCB"/>
    <w:rsid w:val="00EE4D7D"/>
    <w:rsid w:val="00F050FF"/>
    <w:rsid w:val="00F27651"/>
    <w:rsid w:val="00F319E4"/>
    <w:rsid w:val="00F33B3D"/>
    <w:rsid w:val="00F36DBB"/>
    <w:rsid w:val="00F56858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ADBB"/>
  <w15:docId w15:val="{2E96998A-8BD8-498C-92B6-3581B082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F298-A313-4424-9BCB-7E93DC5F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11</cp:revision>
  <cp:lastPrinted>2017-12-14T08:51:00Z</cp:lastPrinted>
  <dcterms:created xsi:type="dcterms:W3CDTF">2017-11-13T21:42:00Z</dcterms:created>
  <dcterms:modified xsi:type="dcterms:W3CDTF">2017-12-14T09:20:00Z</dcterms:modified>
</cp:coreProperties>
</file>